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3B28" w:rsidRDefault="00E23B28" w:rsidP="000B1A06">
      <w:pPr>
        <w:spacing w:after="0"/>
      </w:pPr>
      <w:bookmarkStart w:id="0" w:name="_GoBack"/>
      <w:bookmarkEnd w:id="0"/>
    </w:p>
    <w:p w:rsidR="00586F24" w:rsidRDefault="00097972" w:rsidP="00E23B28">
      <w:pPr>
        <w:spacing w:after="0" w:line="480" w:lineRule="auto"/>
      </w:pPr>
      <w:r w:rsidRPr="000B5B43">
        <w:rPr>
          <w:b/>
          <w:color w:val="404040" w:themeColor="text1" w:themeTint="BF"/>
        </w:rPr>
        <w:t>To</w:t>
      </w:r>
      <w:r w:rsidRPr="00E23B28">
        <w:rPr>
          <w:color w:val="404040" w:themeColor="text1" w:themeTint="BF"/>
        </w:rPr>
        <w:t>:</w:t>
      </w:r>
      <w:r w:rsidR="00E23B28">
        <w:rPr>
          <w:color w:val="404040" w:themeColor="text1" w:themeTint="BF"/>
        </w:rPr>
        <w:t xml:space="preserve"> </w:t>
      </w:r>
      <w:r w:rsidR="00E23B28" w:rsidRPr="001B5BEC">
        <w:t xml:space="preserve">UTA </w:t>
      </w:r>
      <w:r w:rsidR="007C75F3" w:rsidRPr="001B5BEC">
        <w:t>Board of Directors</w:t>
      </w:r>
      <w:r w:rsidR="0008075A">
        <w:t xml:space="preserve"> and Carolyn Gonot, Executive Director</w:t>
      </w:r>
    </w:p>
    <w:p w:rsidR="00097972" w:rsidRPr="001B5BEC" w:rsidRDefault="00097972" w:rsidP="00E23B28">
      <w:pPr>
        <w:spacing w:after="0" w:line="480" w:lineRule="auto"/>
      </w:pPr>
      <w:r w:rsidRPr="001B5BEC">
        <w:rPr>
          <w:b/>
        </w:rPr>
        <w:t>From</w:t>
      </w:r>
      <w:r w:rsidRPr="001B5BEC">
        <w:t xml:space="preserve">: </w:t>
      </w:r>
      <w:r w:rsidR="0008075A">
        <w:t>Bob Biles, Chief Financial Officer</w:t>
      </w:r>
    </w:p>
    <w:p w:rsidR="00097972" w:rsidRPr="001B5BEC" w:rsidRDefault="00097972" w:rsidP="00E23B28">
      <w:pPr>
        <w:spacing w:after="0" w:line="480" w:lineRule="auto"/>
      </w:pPr>
      <w:r w:rsidRPr="001B5BEC">
        <w:rPr>
          <w:b/>
        </w:rPr>
        <w:t>Date</w:t>
      </w:r>
      <w:r w:rsidRPr="001B5BEC">
        <w:t>:</w:t>
      </w:r>
      <w:r w:rsidR="00E23B28" w:rsidRPr="001B5BEC">
        <w:t xml:space="preserve"> </w:t>
      </w:r>
      <w:r w:rsidR="000B5B43" w:rsidRPr="001B5BEC">
        <w:t xml:space="preserve">September </w:t>
      </w:r>
      <w:r w:rsidR="007C75F3" w:rsidRPr="001B5BEC">
        <w:t>2</w:t>
      </w:r>
      <w:r w:rsidR="0008075A">
        <w:t>6</w:t>
      </w:r>
      <w:r w:rsidR="000B5B43" w:rsidRPr="001B5BEC">
        <w:rPr>
          <w:vertAlign w:val="superscript"/>
        </w:rPr>
        <w:t>th</w:t>
      </w:r>
      <w:r w:rsidR="000B5B43" w:rsidRPr="001B5BEC">
        <w:t>, 2019</w:t>
      </w:r>
    </w:p>
    <w:p w:rsidR="00097972" w:rsidRPr="001B5BEC" w:rsidRDefault="000B5B43" w:rsidP="00E23B28">
      <w:pPr>
        <w:spacing w:after="0" w:line="480" w:lineRule="auto"/>
      </w:pPr>
      <w:r w:rsidRPr="001B5BEC">
        <w:rPr>
          <w:noProof/>
        </w:rPr>
        <w:drawing>
          <wp:anchor distT="0" distB="0" distL="114300" distR="114300" simplePos="0" relativeHeight="251658240" behindDoc="1" locked="0" layoutInCell="1" allowOverlap="1">
            <wp:simplePos x="0" y="0"/>
            <wp:positionH relativeFrom="column">
              <wp:posOffset>-28575</wp:posOffset>
            </wp:positionH>
            <wp:positionV relativeFrom="paragraph">
              <wp:posOffset>314960</wp:posOffset>
            </wp:positionV>
            <wp:extent cx="7162800" cy="17970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ey line.PNG"/>
                    <pic:cNvPicPr/>
                  </pic:nvPicPr>
                  <pic:blipFill>
                    <a:blip r:embed="rId8">
                      <a:extLst>
                        <a:ext uri="{28A0092B-C50C-407E-A947-70E740481C1C}">
                          <a14:useLocalDpi xmlns:a14="http://schemas.microsoft.com/office/drawing/2010/main" val="0"/>
                        </a:ext>
                      </a:extLst>
                    </a:blip>
                    <a:stretch>
                      <a:fillRect/>
                    </a:stretch>
                  </pic:blipFill>
                  <pic:spPr>
                    <a:xfrm>
                      <a:off x="0" y="0"/>
                      <a:ext cx="7162800" cy="179705"/>
                    </a:xfrm>
                    <a:prstGeom prst="rect">
                      <a:avLst/>
                    </a:prstGeom>
                  </pic:spPr>
                </pic:pic>
              </a:graphicData>
            </a:graphic>
            <wp14:sizeRelH relativeFrom="page">
              <wp14:pctWidth>0</wp14:pctWidth>
            </wp14:sizeRelH>
            <wp14:sizeRelV relativeFrom="page">
              <wp14:pctHeight>0</wp14:pctHeight>
            </wp14:sizeRelV>
          </wp:anchor>
        </w:drawing>
      </w:r>
      <w:r w:rsidR="00097972" w:rsidRPr="001B5BEC">
        <w:rPr>
          <w:b/>
        </w:rPr>
        <w:t>Subject</w:t>
      </w:r>
      <w:r w:rsidRPr="001B5BEC">
        <w:t>:</w:t>
      </w:r>
      <w:r w:rsidR="00F07D21" w:rsidRPr="001B5BEC">
        <w:t xml:space="preserve"> UTA </w:t>
      </w:r>
      <w:r w:rsidR="007C75F3" w:rsidRPr="001B5BEC">
        <w:t>Reserves</w:t>
      </w:r>
    </w:p>
    <w:p w:rsidR="00097972" w:rsidRPr="001B5BEC" w:rsidRDefault="00097972" w:rsidP="000B1A06">
      <w:pPr>
        <w:spacing w:after="0"/>
      </w:pPr>
    </w:p>
    <w:p w:rsidR="00097972" w:rsidRPr="001B5BEC" w:rsidRDefault="00097972" w:rsidP="000B1A06">
      <w:pPr>
        <w:spacing w:after="0"/>
      </w:pPr>
    </w:p>
    <w:p w:rsidR="007C75F3" w:rsidRPr="001B5BEC" w:rsidRDefault="007C75F3" w:rsidP="00043243">
      <w:pPr>
        <w:spacing w:after="0"/>
        <w:jc w:val="both"/>
      </w:pPr>
      <w:r w:rsidRPr="001B5BEC">
        <w:t>During the recent 2020 budget discussions, the Board of Trustees asked for additional information about UTA’s projected reserves, especially the expected composition and use of unrestricted reserves</w:t>
      </w:r>
      <w:r w:rsidR="00231998" w:rsidRPr="001B5BEC">
        <w:t>.</w:t>
      </w:r>
    </w:p>
    <w:p w:rsidR="007C75F3" w:rsidRPr="001B5BEC" w:rsidRDefault="007C75F3" w:rsidP="00043243">
      <w:pPr>
        <w:spacing w:after="0"/>
        <w:jc w:val="both"/>
      </w:pPr>
    </w:p>
    <w:p w:rsidR="007C75F3" w:rsidRPr="001B5BEC" w:rsidRDefault="007C75F3" w:rsidP="00043243">
      <w:pPr>
        <w:spacing w:after="0"/>
        <w:jc w:val="both"/>
      </w:pPr>
      <w:r w:rsidRPr="001B5BEC">
        <w:t>Earlier this year, the Board of Trustees approved its Financial Management Policy No. 2.1 which, among other things, established required reserve levels for the General Operating, Service Stabilization, Bond, and Capital Replacement reserves</w:t>
      </w:r>
      <w:r w:rsidR="00231998" w:rsidRPr="001B5BEC">
        <w:t xml:space="preserve"> and continued the use of the Debt Reduction reserve</w:t>
      </w:r>
      <w:r w:rsidRPr="001B5BEC">
        <w:t xml:space="preserve">. </w:t>
      </w:r>
      <w:r w:rsidR="00231998" w:rsidRPr="001B5BEC">
        <w:t xml:space="preserve"> These required reserves are taken into account as UTA staff updates the long-range financial forecast (“TFP”) as well as the annual budget.  As shown in the chart below, July 2019 TFP projections show that the ending balance at the end of each fiscal year</w:t>
      </w:r>
      <w:r w:rsidR="00D35912" w:rsidRPr="001B5BEC">
        <w:t xml:space="preserve"> exceed the required reserves</w:t>
      </w:r>
      <w:r w:rsidR="00A21C93" w:rsidRPr="001B5BEC">
        <w:t xml:space="preserve"> by the amounts listed on the “Designated/Unrestricted” line.  </w:t>
      </w:r>
      <w:r w:rsidR="00D35912" w:rsidRPr="001B5BEC">
        <w:t xml:space="preserve"> </w:t>
      </w:r>
    </w:p>
    <w:p w:rsidR="00A21C93" w:rsidRDefault="00A21C93" w:rsidP="000B1A06">
      <w:pPr>
        <w:spacing w:after="0"/>
        <w:rPr>
          <w:color w:val="404040" w:themeColor="text1" w:themeTint="BF"/>
        </w:rPr>
      </w:pPr>
    </w:p>
    <w:p w:rsidR="00A21C93" w:rsidRDefault="00A21C93" w:rsidP="000B1A06">
      <w:pPr>
        <w:spacing w:after="0"/>
        <w:rPr>
          <w:color w:val="404040" w:themeColor="text1" w:themeTint="BF"/>
        </w:rPr>
      </w:pPr>
      <w:r>
        <w:rPr>
          <w:noProof/>
          <w:color w:val="404040" w:themeColor="text1" w:themeTint="BF"/>
        </w:rPr>
        <w:drawing>
          <wp:inline distT="0" distB="0" distL="0" distR="0" wp14:anchorId="63E1432E" wp14:editId="53DB2549">
            <wp:extent cx="6835140" cy="2639695"/>
            <wp:effectExtent l="0" t="0" r="381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35140" cy="2639695"/>
                    </a:xfrm>
                    <a:prstGeom prst="rect">
                      <a:avLst/>
                    </a:prstGeom>
                    <a:noFill/>
                  </pic:spPr>
                </pic:pic>
              </a:graphicData>
            </a:graphic>
          </wp:inline>
        </w:drawing>
      </w:r>
    </w:p>
    <w:p w:rsidR="00A21C93" w:rsidRDefault="00A21C93" w:rsidP="000B1A06">
      <w:pPr>
        <w:spacing w:after="0"/>
        <w:rPr>
          <w:color w:val="404040" w:themeColor="text1" w:themeTint="BF"/>
        </w:rPr>
      </w:pPr>
    </w:p>
    <w:p w:rsidR="00A21C93" w:rsidRDefault="001B5BEC" w:rsidP="00043243">
      <w:pPr>
        <w:spacing w:after="0"/>
        <w:jc w:val="both"/>
      </w:pPr>
      <w:r>
        <w:t>For 2019 and 2020, the Designated/Unrestricted amounts represent planned spend</w:t>
      </w:r>
      <w:r w:rsidR="000075CA">
        <w:t>ing for capital projects</w:t>
      </w:r>
      <w:r>
        <w:t xml:space="preserve">.  </w:t>
      </w:r>
      <w:r w:rsidR="00586F24">
        <w:t>Please see the chart below for the intended uses of the Designated/Unrestricted amounts for those years.</w:t>
      </w:r>
    </w:p>
    <w:p w:rsidR="000075CA" w:rsidRDefault="000075CA" w:rsidP="000B1A06">
      <w:pPr>
        <w:spacing w:after="0"/>
      </w:pPr>
    </w:p>
    <w:p w:rsidR="000075CA" w:rsidRDefault="000075CA" w:rsidP="000B1A06">
      <w:pPr>
        <w:spacing w:after="0"/>
      </w:pPr>
    </w:p>
    <w:p w:rsidR="000075CA" w:rsidRDefault="000075CA" w:rsidP="000B1A06">
      <w:pPr>
        <w:spacing w:after="0"/>
      </w:pPr>
    </w:p>
    <w:p w:rsidR="000075CA" w:rsidRDefault="000075CA" w:rsidP="000B1A06">
      <w:pPr>
        <w:spacing w:after="0"/>
      </w:pPr>
    </w:p>
    <w:p w:rsidR="000075CA" w:rsidRDefault="000075CA" w:rsidP="000B1A06">
      <w:pPr>
        <w:spacing w:after="0"/>
      </w:pPr>
    </w:p>
    <w:tbl>
      <w:tblPr>
        <w:tblStyle w:val="GridTable4-Accent1"/>
        <w:tblW w:w="10660" w:type="dxa"/>
        <w:tblInd w:w="85" w:type="dxa"/>
        <w:tblLook w:val="04A0" w:firstRow="1" w:lastRow="0" w:firstColumn="1" w:lastColumn="0" w:noHBand="0" w:noVBand="1"/>
      </w:tblPr>
      <w:tblGrid>
        <w:gridCol w:w="6149"/>
        <w:gridCol w:w="2180"/>
        <w:gridCol w:w="2331"/>
      </w:tblGrid>
      <w:tr w:rsidR="000075CA" w:rsidTr="00325CE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6149" w:type="dxa"/>
          </w:tcPr>
          <w:p w:rsidR="000075CA" w:rsidRDefault="000075CA" w:rsidP="000B1A06"/>
        </w:tc>
        <w:tc>
          <w:tcPr>
            <w:tcW w:w="2180" w:type="dxa"/>
          </w:tcPr>
          <w:p w:rsidR="000075CA" w:rsidRDefault="000075CA" w:rsidP="00586F24">
            <w:pPr>
              <w:jc w:val="center"/>
              <w:cnfStyle w:val="100000000000" w:firstRow="1" w:lastRow="0" w:firstColumn="0" w:lastColumn="0" w:oddVBand="0" w:evenVBand="0" w:oddHBand="0" w:evenHBand="0" w:firstRowFirstColumn="0" w:firstRowLastColumn="0" w:lastRowFirstColumn="0" w:lastRowLastColumn="0"/>
            </w:pPr>
            <w:r>
              <w:t>2019</w:t>
            </w:r>
          </w:p>
        </w:tc>
        <w:tc>
          <w:tcPr>
            <w:tcW w:w="2331" w:type="dxa"/>
          </w:tcPr>
          <w:p w:rsidR="000075CA" w:rsidRDefault="000075CA" w:rsidP="00586F24">
            <w:pPr>
              <w:jc w:val="center"/>
              <w:cnfStyle w:val="100000000000" w:firstRow="1" w:lastRow="0" w:firstColumn="0" w:lastColumn="0" w:oddVBand="0" w:evenVBand="0" w:oddHBand="0" w:evenHBand="0" w:firstRowFirstColumn="0" w:firstRowLastColumn="0" w:lastRowFirstColumn="0" w:lastRowLastColumn="0"/>
            </w:pPr>
            <w:r>
              <w:t>2020</w:t>
            </w:r>
          </w:p>
        </w:tc>
      </w:tr>
      <w:tr w:rsidR="000075CA" w:rsidTr="00325CE0">
        <w:trPr>
          <w:cnfStyle w:val="000000100000" w:firstRow="0" w:lastRow="0" w:firstColumn="0" w:lastColumn="0" w:oddVBand="0" w:evenVBand="0" w:oddHBand="1"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6149" w:type="dxa"/>
          </w:tcPr>
          <w:p w:rsidR="000075CA" w:rsidRDefault="000075CA" w:rsidP="000B1A06">
            <w:r>
              <w:t>2018 Bond Proceeds</w:t>
            </w:r>
          </w:p>
        </w:tc>
        <w:tc>
          <w:tcPr>
            <w:tcW w:w="2180" w:type="dxa"/>
          </w:tcPr>
          <w:p w:rsidR="000075CA" w:rsidRDefault="000075CA" w:rsidP="00586F24">
            <w:pPr>
              <w:jc w:val="right"/>
              <w:cnfStyle w:val="000000100000" w:firstRow="0" w:lastRow="0" w:firstColumn="0" w:lastColumn="0" w:oddVBand="0" w:evenVBand="0" w:oddHBand="1" w:evenHBand="0" w:firstRowFirstColumn="0" w:firstRowLastColumn="0" w:lastRowFirstColumn="0" w:lastRowLastColumn="0"/>
            </w:pPr>
            <w:r>
              <w:t>$18,550,000</w:t>
            </w:r>
          </w:p>
        </w:tc>
        <w:tc>
          <w:tcPr>
            <w:tcW w:w="2331" w:type="dxa"/>
          </w:tcPr>
          <w:p w:rsidR="000075CA" w:rsidRDefault="000075CA" w:rsidP="00586F24">
            <w:pPr>
              <w:jc w:val="right"/>
              <w:cnfStyle w:val="000000100000" w:firstRow="0" w:lastRow="0" w:firstColumn="0" w:lastColumn="0" w:oddVBand="0" w:evenVBand="0" w:oddHBand="1" w:evenHBand="0" w:firstRowFirstColumn="0" w:firstRowLastColumn="0" w:lastRowFirstColumn="0" w:lastRowLastColumn="0"/>
            </w:pPr>
            <w:r>
              <w:t>$  5,550,000</w:t>
            </w:r>
          </w:p>
        </w:tc>
      </w:tr>
      <w:tr w:rsidR="000075CA" w:rsidTr="00325CE0">
        <w:trPr>
          <w:trHeight w:val="364"/>
        </w:trPr>
        <w:tc>
          <w:tcPr>
            <w:cnfStyle w:val="001000000000" w:firstRow="0" w:lastRow="0" w:firstColumn="1" w:lastColumn="0" w:oddVBand="0" w:evenVBand="0" w:oddHBand="0" w:evenHBand="0" w:firstRowFirstColumn="0" w:firstRowLastColumn="0" w:lastRowFirstColumn="0" w:lastRowLastColumn="0"/>
            <w:tcW w:w="6149" w:type="dxa"/>
          </w:tcPr>
          <w:p w:rsidR="000075CA" w:rsidRDefault="000075CA" w:rsidP="000B1A06">
            <w:r>
              <w:t>2020 Bond Proceeds</w:t>
            </w:r>
          </w:p>
        </w:tc>
        <w:tc>
          <w:tcPr>
            <w:tcW w:w="2180" w:type="dxa"/>
          </w:tcPr>
          <w:p w:rsidR="000075CA" w:rsidRDefault="000075CA" w:rsidP="00586F24">
            <w:pPr>
              <w:jc w:val="right"/>
              <w:cnfStyle w:val="000000000000" w:firstRow="0" w:lastRow="0" w:firstColumn="0" w:lastColumn="0" w:oddVBand="0" w:evenVBand="0" w:oddHBand="0" w:evenHBand="0" w:firstRowFirstColumn="0" w:firstRowLastColumn="0" w:lastRowFirstColumn="0" w:lastRowLastColumn="0"/>
            </w:pPr>
          </w:p>
        </w:tc>
        <w:tc>
          <w:tcPr>
            <w:tcW w:w="2331" w:type="dxa"/>
          </w:tcPr>
          <w:p w:rsidR="000075CA" w:rsidRDefault="000075CA" w:rsidP="00586F24">
            <w:pPr>
              <w:jc w:val="right"/>
              <w:cnfStyle w:val="000000000000" w:firstRow="0" w:lastRow="0" w:firstColumn="0" w:lastColumn="0" w:oddVBand="0" w:evenVBand="0" w:oddHBand="0" w:evenHBand="0" w:firstRowFirstColumn="0" w:firstRowLastColumn="0" w:lastRowFirstColumn="0" w:lastRowLastColumn="0"/>
            </w:pPr>
            <w:r>
              <w:t xml:space="preserve">  13,180,000</w:t>
            </w:r>
          </w:p>
        </w:tc>
      </w:tr>
      <w:tr w:rsidR="000075CA" w:rsidTr="00325CE0">
        <w:trPr>
          <w:cnfStyle w:val="000000100000" w:firstRow="0" w:lastRow="0" w:firstColumn="0" w:lastColumn="0" w:oddVBand="0" w:evenVBand="0" w:oddHBand="1"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6149" w:type="dxa"/>
          </w:tcPr>
          <w:p w:rsidR="000075CA" w:rsidRDefault="00586F24" w:rsidP="000B1A06">
            <w:r>
              <w:t>Designated for capital projects in subsequent year</w:t>
            </w:r>
          </w:p>
        </w:tc>
        <w:tc>
          <w:tcPr>
            <w:tcW w:w="2180" w:type="dxa"/>
          </w:tcPr>
          <w:p w:rsidR="000075CA" w:rsidRPr="00586F24" w:rsidRDefault="00586F24" w:rsidP="00586F24">
            <w:pPr>
              <w:jc w:val="right"/>
              <w:cnfStyle w:val="000000100000" w:firstRow="0" w:lastRow="0" w:firstColumn="0" w:lastColumn="0" w:oddVBand="0" w:evenVBand="0" w:oddHBand="1" w:evenHBand="0" w:firstRowFirstColumn="0" w:firstRowLastColumn="0" w:lastRowFirstColumn="0" w:lastRowLastColumn="0"/>
              <w:rPr>
                <w:u w:val="single"/>
              </w:rPr>
            </w:pPr>
            <w:r w:rsidRPr="00586F24">
              <w:rPr>
                <w:u w:val="single"/>
              </w:rPr>
              <w:t xml:space="preserve">  25,050,000</w:t>
            </w:r>
          </w:p>
        </w:tc>
        <w:tc>
          <w:tcPr>
            <w:tcW w:w="2331" w:type="dxa"/>
          </w:tcPr>
          <w:p w:rsidR="000075CA" w:rsidRPr="00586F24" w:rsidRDefault="000075CA" w:rsidP="00586F24">
            <w:pPr>
              <w:jc w:val="right"/>
              <w:cnfStyle w:val="000000100000" w:firstRow="0" w:lastRow="0" w:firstColumn="0" w:lastColumn="0" w:oddVBand="0" w:evenVBand="0" w:oddHBand="1" w:evenHBand="0" w:firstRowFirstColumn="0" w:firstRowLastColumn="0" w:lastRowFirstColumn="0" w:lastRowLastColumn="0"/>
              <w:rPr>
                <w:u w:val="single"/>
              </w:rPr>
            </w:pPr>
            <w:r w:rsidRPr="00586F24">
              <w:rPr>
                <w:u w:val="single"/>
              </w:rPr>
              <w:t xml:space="preserve">  11,170,000</w:t>
            </w:r>
          </w:p>
        </w:tc>
      </w:tr>
      <w:tr w:rsidR="000075CA" w:rsidTr="00325CE0">
        <w:trPr>
          <w:trHeight w:val="349"/>
        </w:trPr>
        <w:tc>
          <w:tcPr>
            <w:cnfStyle w:val="001000000000" w:firstRow="0" w:lastRow="0" w:firstColumn="1" w:lastColumn="0" w:oddVBand="0" w:evenVBand="0" w:oddHBand="0" w:evenHBand="0" w:firstRowFirstColumn="0" w:firstRowLastColumn="0" w:lastRowFirstColumn="0" w:lastRowLastColumn="0"/>
            <w:tcW w:w="6149" w:type="dxa"/>
          </w:tcPr>
          <w:p w:rsidR="000075CA" w:rsidRDefault="000075CA" w:rsidP="000B1A06">
            <w:r>
              <w:t>Designated/Unrestricted</w:t>
            </w:r>
          </w:p>
        </w:tc>
        <w:tc>
          <w:tcPr>
            <w:tcW w:w="2180" w:type="dxa"/>
          </w:tcPr>
          <w:p w:rsidR="000075CA" w:rsidRPr="00586F24" w:rsidRDefault="000075CA" w:rsidP="00586F24">
            <w:pPr>
              <w:jc w:val="right"/>
              <w:cnfStyle w:val="000000000000" w:firstRow="0" w:lastRow="0" w:firstColumn="0" w:lastColumn="0" w:oddVBand="0" w:evenVBand="0" w:oddHBand="0" w:evenHBand="0" w:firstRowFirstColumn="0" w:firstRowLastColumn="0" w:lastRowFirstColumn="0" w:lastRowLastColumn="0"/>
              <w:rPr>
                <w:u w:val="double"/>
              </w:rPr>
            </w:pPr>
            <w:r w:rsidRPr="00586F24">
              <w:rPr>
                <w:u w:val="double"/>
              </w:rPr>
              <w:t>$43,900,000</w:t>
            </w:r>
          </w:p>
        </w:tc>
        <w:tc>
          <w:tcPr>
            <w:tcW w:w="2331" w:type="dxa"/>
          </w:tcPr>
          <w:p w:rsidR="000075CA" w:rsidRPr="00586F24" w:rsidRDefault="000075CA" w:rsidP="00586F24">
            <w:pPr>
              <w:jc w:val="right"/>
              <w:cnfStyle w:val="000000000000" w:firstRow="0" w:lastRow="0" w:firstColumn="0" w:lastColumn="0" w:oddVBand="0" w:evenVBand="0" w:oddHBand="0" w:evenHBand="0" w:firstRowFirstColumn="0" w:firstRowLastColumn="0" w:lastRowFirstColumn="0" w:lastRowLastColumn="0"/>
              <w:rPr>
                <w:u w:val="double"/>
              </w:rPr>
            </w:pPr>
            <w:r w:rsidRPr="00586F24">
              <w:rPr>
                <w:u w:val="double"/>
              </w:rPr>
              <w:t>$29,900,000</w:t>
            </w:r>
          </w:p>
        </w:tc>
      </w:tr>
    </w:tbl>
    <w:p w:rsidR="000075CA" w:rsidRPr="001B5BEC" w:rsidRDefault="000075CA" w:rsidP="000B1A06">
      <w:pPr>
        <w:spacing w:after="0"/>
      </w:pPr>
    </w:p>
    <w:p w:rsidR="00231998" w:rsidRPr="001B5BEC" w:rsidRDefault="00231998" w:rsidP="000B1A06">
      <w:pPr>
        <w:spacing w:after="0"/>
      </w:pPr>
    </w:p>
    <w:p w:rsidR="00231998" w:rsidRPr="001B5BEC" w:rsidRDefault="00586F24" w:rsidP="000B1A06">
      <w:pPr>
        <w:spacing w:after="0"/>
      </w:pPr>
      <w:r>
        <w:t>Please let me know if you need any additional information.</w:t>
      </w:r>
    </w:p>
    <w:p w:rsidR="003A5B04" w:rsidRPr="001B5BEC" w:rsidRDefault="003A5B04" w:rsidP="000B1A06">
      <w:pPr>
        <w:spacing w:after="0"/>
      </w:pPr>
    </w:p>
    <w:sectPr w:rsidR="003A5B04" w:rsidRPr="001B5BEC" w:rsidSect="00097972">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5849" w:rsidRDefault="00D55849" w:rsidP="00E23B28">
      <w:pPr>
        <w:spacing w:after="0" w:line="240" w:lineRule="auto"/>
      </w:pPr>
      <w:r>
        <w:separator/>
      </w:r>
    </w:p>
  </w:endnote>
  <w:endnote w:type="continuationSeparator" w:id="0">
    <w:p w:rsidR="00D55849" w:rsidRDefault="00D55849" w:rsidP="00E23B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Whitney Bold">
    <w:altName w:val="Arial"/>
    <w:panose1 w:val="00000000000000000000"/>
    <w:charset w:val="00"/>
    <w:family w:val="modern"/>
    <w:notTrueType/>
    <w:pitch w:val="variable"/>
    <w:sig w:usb0="A10002FF" w:usb1="4000005B" w:usb2="00000000" w:usb3="00000000" w:csb0="0000009F" w:csb1="00000000"/>
  </w:font>
  <w:font w:name="Whitney Book">
    <w:altName w:val="Arial"/>
    <w:panose1 w:val="00000000000000000000"/>
    <w:charset w:val="00"/>
    <w:family w:val="modern"/>
    <w:notTrueType/>
    <w:pitch w:val="variable"/>
    <w:sig w:usb0="A10002FF" w:usb1="4000005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595959" w:themeColor="text1" w:themeTint="A6"/>
        <w:sz w:val="20"/>
        <w:szCs w:val="20"/>
      </w:rPr>
      <w:id w:val="-150056839"/>
      <w:docPartObj>
        <w:docPartGallery w:val="Page Numbers (Bottom of Page)"/>
        <w:docPartUnique/>
      </w:docPartObj>
    </w:sdtPr>
    <w:sdtEndPr>
      <w:rPr>
        <w:sz w:val="22"/>
        <w:szCs w:val="22"/>
      </w:rPr>
    </w:sdtEndPr>
    <w:sdtContent>
      <w:sdt>
        <w:sdtPr>
          <w:rPr>
            <w:color w:val="595959" w:themeColor="text1" w:themeTint="A6"/>
            <w:sz w:val="20"/>
            <w:szCs w:val="20"/>
          </w:rPr>
          <w:id w:val="-1769616900"/>
          <w:docPartObj>
            <w:docPartGallery w:val="Page Numbers (Top of Page)"/>
            <w:docPartUnique/>
          </w:docPartObj>
        </w:sdtPr>
        <w:sdtEndPr>
          <w:rPr>
            <w:sz w:val="22"/>
            <w:szCs w:val="22"/>
          </w:rPr>
        </w:sdtEndPr>
        <w:sdtContent>
          <w:p w:rsidR="00673EDF" w:rsidRPr="00236020" w:rsidRDefault="00E23B28" w:rsidP="00673EDF">
            <w:pPr>
              <w:pStyle w:val="Footer"/>
              <w:jc w:val="right"/>
              <w:rPr>
                <w:rFonts w:ascii="Whitney Book" w:hAnsi="Whitney Book"/>
                <w:color w:val="595959" w:themeColor="text1" w:themeTint="A6"/>
                <w:sz w:val="20"/>
                <w:szCs w:val="20"/>
              </w:rPr>
            </w:pPr>
            <w:r w:rsidRPr="00236020">
              <w:rPr>
                <w:rFonts w:ascii="Whitney Book" w:hAnsi="Whitney Book"/>
                <w:color w:val="595959" w:themeColor="text1" w:themeTint="A6"/>
                <w:sz w:val="20"/>
                <w:szCs w:val="20"/>
              </w:rPr>
              <w:t xml:space="preserve">Page </w:t>
            </w:r>
            <w:r w:rsidRPr="00236020">
              <w:rPr>
                <w:rFonts w:ascii="Whitney Book" w:hAnsi="Whitney Book"/>
                <w:bCs/>
                <w:color w:val="595959" w:themeColor="text1" w:themeTint="A6"/>
                <w:sz w:val="20"/>
                <w:szCs w:val="20"/>
              </w:rPr>
              <w:fldChar w:fldCharType="begin"/>
            </w:r>
            <w:r w:rsidRPr="00236020">
              <w:rPr>
                <w:rFonts w:ascii="Whitney Book" w:hAnsi="Whitney Book"/>
                <w:bCs/>
                <w:color w:val="595959" w:themeColor="text1" w:themeTint="A6"/>
                <w:sz w:val="20"/>
                <w:szCs w:val="20"/>
              </w:rPr>
              <w:instrText xml:space="preserve"> PAGE </w:instrText>
            </w:r>
            <w:r w:rsidRPr="00236020">
              <w:rPr>
                <w:rFonts w:ascii="Whitney Book" w:hAnsi="Whitney Book"/>
                <w:bCs/>
                <w:color w:val="595959" w:themeColor="text1" w:themeTint="A6"/>
                <w:sz w:val="20"/>
                <w:szCs w:val="20"/>
              </w:rPr>
              <w:fldChar w:fldCharType="separate"/>
            </w:r>
            <w:r w:rsidR="008D6D6A">
              <w:rPr>
                <w:rFonts w:ascii="Whitney Book" w:hAnsi="Whitney Book"/>
                <w:bCs/>
                <w:noProof/>
                <w:color w:val="595959" w:themeColor="text1" w:themeTint="A6"/>
                <w:sz w:val="20"/>
                <w:szCs w:val="20"/>
              </w:rPr>
              <w:t>1</w:t>
            </w:r>
            <w:r w:rsidRPr="00236020">
              <w:rPr>
                <w:rFonts w:ascii="Whitney Book" w:hAnsi="Whitney Book"/>
                <w:bCs/>
                <w:color w:val="595959" w:themeColor="text1" w:themeTint="A6"/>
                <w:sz w:val="20"/>
                <w:szCs w:val="20"/>
              </w:rPr>
              <w:fldChar w:fldCharType="end"/>
            </w:r>
            <w:r w:rsidRPr="00236020">
              <w:rPr>
                <w:rFonts w:ascii="Whitney Book" w:hAnsi="Whitney Book"/>
                <w:color w:val="595959" w:themeColor="text1" w:themeTint="A6"/>
                <w:sz w:val="20"/>
                <w:szCs w:val="20"/>
              </w:rPr>
              <w:t xml:space="preserve"> of </w:t>
            </w:r>
            <w:r w:rsidRPr="00236020">
              <w:rPr>
                <w:rFonts w:ascii="Whitney Book" w:hAnsi="Whitney Book"/>
                <w:bCs/>
                <w:color w:val="595959" w:themeColor="text1" w:themeTint="A6"/>
                <w:sz w:val="20"/>
                <w:szCs w:val="20"/>
              </w:rPr>
              <w:fldChar w:fldCharType="begin"/>
            </w:r>
            <w:r w:rsidRPr="00236020">
              <w:rPr>
                <w:rFonts w:ascii="Whitney Book" w:hAnsi="Whitney Book"/>
                <w:bCs/>
                <w:color w:val="595959" w:themeColor="text1" w:themeTint="A6"/>
                <w:sz w:val="20"/>
                <w:szCs w:val="20"/>
              </w:rPr>
              <w:instrText xml:space="preserve"> NUMPAGES  </w:instrText>
            </w:r>
            <w:r w:rsidRPr="00236020">
              <w:rPr>
                <w:rFonts w:ascii="Whitney Book" w:hAnsi="Whitney Book"/>
                <w:bCs/>
                <w:color w:val="595959" w:themeColor="text1" w:themeTint="A6"/>
                <w:sz w:val="20"/>
                <w:szCs w:val="20"/>
              </w:rPr>
              <w:fldChar w:fldCharType="separate"/>
            </w:r>
            <w:r w:rsidR="008D6D6A">
              <w:rPr>
                <w:rFonts w:ascii="Whitney Book" w:hAnsi="Whitney Book"/>
                <w:bCs/>
                <w:noProof/>
                <w:color w:val="595959" w:themeColor="text1" w:themeTint="A6"/>
                <w:sz w:val="20"/>
                <w:szCs w:val="20"/>
              </w:rPr>
              <w:t>2</w:t>
            </w:r>
            <w:r w:rsidRPr="00236020">
              <w:rPr>
                <w:rFonts w:ascii="Whitney Book" w:hAnsi="Whitney Book"/>
                <w:bCs/>
                <w:color w:val="595959" w:themeColor="text1" w:themeTint="A6"/>
                <w:sz w:val="20"/>
                <w:szCs w:val="20"/>
              </w:rPr>
              <w:fldChar w:fldCharType="end"/>
            </w:r>
          </w:p>
          <w:p w:rsidR="00673EDF" w:rsidRPr="00BA45DE" w:rsidRDefault="00673EDF" w:rsidP="00673EDF">
            <w:pPr>
              <w:pStyle w:val="Footer"/>
              <w:jc w:val="right"/>
              <w:rPr>
                <w:rFonts w:ascii="Whitney Book" w:hAnsi="Whitney Book"/>
                <w:color w:val="595959" w:themeColor="text1" w:themeTint="A6"/>
                <w:spacing w:val="16"/>
              </w:rPr>
            </w:pPr>
            <w:r w:rsidRPr="00BA45DE">
              <w:rPr>
                <w:rFonts w:ascii="Whitney Book" w:hAnsi="Whitney Book"/>
                <w:color w:val="595959" w:themeColor="text1" w:themeTint="A6"/>
                <w:spacing w:val="16"/>
                <w:sz w:val="20"/>
              </w:rPr>
              <w:t>UTAH TRANSIT AUTHORITY</w:t>
            </w:r>
          </w:p>
          <w:p w:rsidR="00E23B28" w:rsidRPr="00E23B28" w:rsidRDefault="00D55849">
            <w:pPr>
              <w:pStyle w:val="Footer"/>
              <w:jc w:val="right"/>
              <w:rPr>
                <w:color w:val="595959" w:themeColor="text1" w:themeTint="A6"/>
              </w:rPr>
            </w:pPr>
          </w:p>
        </w:sdtContent>
      </w:sdt>
    </w:sdtContent>
  </w:sdt>
  <w:p w:rsidR="00E23B28" w:rsidRPr="00E23B28" w:rsidRDefault="00E23B28">
    <w:pPr>
      <w:pStyle w:val="Footer"/>
      <w:rPr>
        <w:color w:val="595959" w:themeColor="text1" w:themeTint="A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5849" w:rsidRDefault="00D55849" w:rsidP="00E23B28">
      <w:pPr>
        <w:spacing w:after="0" w:line="240" w:lineRule="auto"/>
      </w:pPr>
      <w:r>
        <w:separator/>
      </w:r>
    </w:p>
  </w:footnote>
  <w:footnote w:type="continuationSeparator" w:id="0">
    <w:p w:rsidR="00D55849" w:rsidRDefault="00D55849" w:rsidP="00E23B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3B28" w:rsidRPr="00E23B28" w:rsidRDefault="00E23B28" w:rsidP="00E23B28">
    <w:pPr>
      <w:spacing w:after="0"/>
      <w:rPr>
        <w:rFonts w:ascii="Whitney Bold" w:hAnsi="Whitney Bold"/>
        <w:color w:val="00629E"/>
        <w:spacing w:val="44"/>
        <w:sz w:val="52"/>
      </w:rPr>
    </w:pPr>
    <w:r>
      <w:rPr>
        <w:rFonts w:ascii="Whitney Bold" w:hAnsi="Whitney Bold"/>
        <w:noProof/>
        <w:color w:val="00629E"/>
        <w:sz w:val="52"/>
      </w:rPr>
      <w:drawing>
        <wp:anchor distT="0" distB="0" distL="114300" distR="114300" simplePos="0" relativeHeight="251658240" behindDoc="0" locked="0" layoutInCell="1" allowOverlap="1">
          <wp:simplePos x="0" y="0"/>
          <wp:positionH relativeFrom="column">
            <wp:posOffset>5495925</wp:posOffset>
          </wp:positionH>
          <wp:positionV relativeFrom="paragraph">
            <wp:posOffset>-18415</wp:posOffset>
          </wp:positionV>
          <wp:extent cx="1574470" cy="409575"/>
          <wp:effectExtent l="0" t="0" r="698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TALOGO300.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4470" cy="409575"/>
                  </a:xfrm>
                  <a:prstGeom prst="rect">
                    <a:avLst/>
                  </a:prstGeom>
                </pic:spPr>
              </pic:pic>
            </a:graphicData>
          </a:graphic>
          <wp14:sizeRelH relativeFrom="page">
            <wp14:pctWidth>0</wp14:pctWidth>
          </wp14:sizeRelH>
          <wp14:sizeRelV relativeFrom="page">
            <wp14:pctHeight>0</wp14:pctHeight>
          </wp14:sizeRelV>
        </wp:anchor>
      </w:drawing>
    </w:r>
    <w:r w:rsidRPr="00E23B28">
      <w:rPr>
        <w:rFonts w:ascii="Whitney Bold" w:hAnsi="Whitney Bold"/>
        <w:color w:val="A6A6A6" w:themeColor="background1" w:themeShade="A6"/>
        <w:spacing w:val="44"/>
        <w:sz w:val="52"/>
      </w:rPr>
      <w:t>MEMO</w:t>
    </w:r>
  </w:p>
  <w:p w:rsidR="00E23B28" w:rsidRDefault="00E23B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B96169"/>
    <w:multiLevelType w:val="hybridMultilevel"/>
    <w:tmpl w:val="7A8E1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5E0"/>
    <w:rsid w:val="0000146B"/>
    <w:rsid w:val="000075CA"/>
    <w:rsid w:val="00010FAB"/>
    <w:rsid w:val="00043243"/>
    <w:rsid w:val="0008075A"/>
    <w:rsid w:val="00097972"/>
    <w:rsid w:val="000B1A06"/>
    <w:rsid w:val="000B5B43"/>
    <w:rsid w:val="000F7F09"/>
    <w:rsid w:val="001361AA"/>
    <w:rsid w:val="00164085"/>
    <w:rsid w:val="001A092F"/>
    <w:rsid w:val="001B5BEC"/>
    <w:rsid w:val="00231998"/>
    <w:rsid w:val="00236020"/>
    <w:rsid w:val="00263439"/>
    <w:rsid w:val="002965E0"/>
    <w:rsid w:val="002A23FD"/>
    <w:rsid w:val="002D7A93"/>
    <w:rsid w:val="002E7DBB"/>
    <w:rsid w:val="00307FB8"/>
    <w:rsid w:val="00325CE0"/>
    <w:rsid w:val="00343E70"/>
    <w:rsid w:val="003454E9"/>
    <w:rsid w:val="0035689D"/>
    <w:rsid w:val="003A5B04"/>
    <w:rsid w:val="0045055A"/>
    <w:rsid w:val="00473B30"/>
    <w:rsid w:val="004A22DA"/>
    <w:rsid w:val="004D74C8"/>
    <w:rsid w:val="00586F24"/>
    <w:rsid w:val="005A042A"/>
    <w:rsid w:val="005C5D0E"/>
    <w:rsid w:val="005F1763"/>
    <w:rsid w:val="00646121"/>
    <w:rsid w:val="00673EDF"/>
    <w:rsid w:val="006B4C1A"/>
    <w:rsid w:val="006D03FA"/>
    <w:rsid w:val="00715768"/>
    <w:rsid w:val="00726967"/>
    <w:rsid w:val="00763DBB"/>
    <w:rsid w:val="007771ED"/>
    <w:rsid w:val="00781CF8"/>
    <w:rsid w:val="007C21E1"/>
    <w:rsid w:val="007C75F3"/>
    <w:rsid w:val="008A150D"/>
    <w:rsid w:val="008A7C87"/>
    <w:rsid w:val="008D6D6A"/>
    <w:rsid w:val="00952B08"/>
    <w:rsid w:val="00960CD7"/>
    <w:rsid w:val="00982076"/>
    <w:rsid w:val="009915E9"/>
    <w:rsid w:val="009D0B18"/>
    <w:rsid w:val="00A21C93"/>
    <w:rsid w:val="00A26A08"/>
    <w:rsid w:val="00A542FE"/>
    <w:rsid w:val="00A813BB"/>
    <w:rsid w:val="00AC7FA6"/>
    <w:rsid w:val="00AE48C6"/>
    <w:rsid w:val="00B1583B"/>
    <w:rsid w:val="00BA2D3E"/>
    <w:rsid w:val="00BC6EB5"/>
    <w:rsid w:val="00BD7025"/>
    <w:rsid w:val="00BE4F41"/>
    <w:rsid w:val="00BF2829"/>
    <w:rsid w:val="00C13601"/>
    <w:rsid w:val="00C77A0D"/>
    <w:rsid w:val="00C80C84"/>
    <w:rsid w:val="00CC394E"/>
    <w:rsid w:val="00CC5B31"/>
    <w:rsid w:val="00CC7457"/>
    <w:rsid w:val="00D35912"/>
    <w:rsid w:val="00D55849"/>
    <w:rsid w:val="00D668E7"/>
    <w:rsid w:val="00E23B28"/>
    <w:rsid w:val="00E87636"/>
    <w:rsid w:val="00EB7AFE"/>
    <w:rsid w:val="00F07D21"/>
    <w:rsid w:val="00FC5290"/>
    <w:rsid w:val="00FD638F"/>
    <w:rsid w:val="00FD6787"/>
    <w:rsid w:val="00FF22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6205FCB-918E-4202-B7B7-BC2D3FF21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54E9"/>
    <w:pPr>
      <w:ind w:left="720"/>
      <w:contextualSpacing/>
    </w:pPr>
  </w:style>
  <w:style w:type="table" w:styleId="TableGrid">
    <w:name w:val="Table Grid"/>
    <w:basedOn w:val="TableNormal"/>
    <w:uiPriority w:val="39"/>
    <w:rsid w:val="00BC6E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1">
    <w:name w:val="Grid Table 5 Dark Accent 1"/>
    <w:basedOn w:val="TableNormal"/>
    <w:uiPriority w:val="50"/>
    <w:rsid w:val="00BC6EB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Header">
    <w:name w:val="header"/>
    <w:basedOn w:val="Normal"/>
    <w:link w:val="HeaderChar"/>
    <w:uiPriority w:val="99"/>
    <w:unhideWhenUsed/>
    <w:rsid w:val="00E23B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3B28"/>
  </w:style>
  <w:style w:type="paragraph" w:styleId="Footer">
    <w:name w:val="footer"/>
    <w:basedOn w:val="Normal"/>
    <w:link w:val="FooterChar"/>
    <w:uiPriority w:val="99"/>
    <w:unhideWhenUsed/>
    <w:rsid w:val="00E23B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3B28"/>
  </w:style>
  <w:style w:type="character" w:styleId="Hyperlink">
    <w:name w:val="Hyperlink"/>
    <w:basedOn w:val="DefaultParagraphFont"/>
    <w:uiPriority w:val="99"/>
    <w:unhideWhenUsed/>
    <w:rsid w:val="006B4C1A"/>
    <w:rPr>
      <w:color w:val="0563C1" w:themeColor="hyperlink"/>
      <w:u w:val="single"/>
    </w:rPr>
  </w:style>
  <w:style w:type="paragraph" w:styleId="BalloonText">
    <w:name w:val="Balloon Text"/>
    <w:basedOn w:val="Normal"/>
    <w:link w:val="BalloonTextChar"/>
    <w:uiPriority w:val="99"/>
    <w:semiHidden/>
    <w:unhideWhenUsed/>
    <w:rsid w:val="00473B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3B30"/>
    <w:rPr>
      <w:rFonts w:ascii="Segoe UI" w:hAnsi="Segoe UI" w:cs="Segoe UI"/>
      <w:sz w:val="18"/>
      <w:szCs w:val="18"/>
    </w:rPr>
  </w:style>
  <w:style w:type="table" w:styleId="GridTable4-Accent1">
    <w:name w:val="Grid Table 4 Accent 1"/>
    <w:basedOn w:val="TableNormal"/>
    <w:uiPriority w:val="49"/>
    <w:rsid w:val="000075CA"/>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01948">
      <w:bodyDiv w:val="1"/>
      <w:marLeft w:val="0"/>
      <w:marRight w:val="0"/>
      <w:marTop w:val="0"/>
      <w:marBottom w:val="0"/>
      <w:divBdr>
        <w:top w:val="none" w:sz="0" w:space="0" w:color="auto"/>
        <w:left w:val="none" w:sz="0" w:space="0" w:color="auto"/>
        <w:bottom w:val="none" w:sz="0" w:space="0" w:color="auto"/>
        <w:right w:val="none" w:sz="0" w:space="0" w:color="auto"/>
      </w:divBdr>
    </w:div>
    <w:div w:id="52385967">
      <w:bodyDiv w:val="1"/>
      <w:marLeft w:val="0"/>
      <w:marRight w:val="0"/>
      <w:marTop w:val="0"/>
      <w:marBottom w:val="0"/>
      <w:divBdr>
        <w:top w:val="none" w:sz="0" w:space="0" w:color="auto"/>
        <w:left w:val="none" w:sz="0" w:space="0" w:color="auto"/>
        <w:bottom w:val="none" w:sz="0" w:space="0" w:color="auto"/>
        <w:right w:val="none" w:sz="0" w:space="0" w:color="auto"/>
      </w:divBdr>
    </w:div>
    <w:div w:id="95374536">
      <w:bodyDiv w:val="1"/>
      <w:marLeft w:val="0"/>
      <w:marRight w:val="0"/>
      <w:marTop w:val="0"/>
      <w:marBottom w:val="0"/>
      <w:divBdr>
        <w:top w:val="none" w:sz="0" w:space="0" w:color="auto"/>
        <w:left w:val="none" w:sz="0" w:space="0" w:color="auto"/>
        <w:bottom w:val="none" w:sz="0" w:space="0" w:color="auto"/>
        <w:right w:val="none" w:sz="0" w:space="0" w:color="auto"/>
      </w:divBdr>
    </w:div>
    <w:div w:id="98455253">
      <w:bodyDiv w:val="1"/>
      <w:marLeft w:val="0"/>
      <w:marRight w:val="0"/>
      <w:marTop w:val="0"/>
      <w:marBottom w:val="0"/>
      <w:divBdr>
        <w:top w:val="none" w:sz="0" w:space="0" w:color="auto"/>
        <w:left w:val="none" w:sz="0" w:space="0" w:color="auto"/>
        <w:bottom w:val="none" w:sz="0" w:space="0" w:color="auto"/>
        <w:right w:val="none" w:sz="0" w:space="0" w:color="auto"/>
      </w:divBdr>
    </w:div>
    <w:div w:id="352339310">
      <w:bodyDiv w:val="1"/>
      <w:marLeft w:val="0"/>
      <w:marRight w:val="0"/>
      <w:marTop w:val="0"/>
      <w:marBottom w:val="0"/>
      <w:divBdr>
        <w:top w:val="none" w:sz="0" w:space="0" w:color="auto"/>
        <w:left w:val="none" w:sz="0" w:space="0" w:color="auto"/>
        <w:bottom w:val="none" w:sz="0" w:space="0" w:color="auto"/>
        <w:right w:val="none" w:sz="0" w:space="0" w:color="auto"/>
      </w:divBdr>
    </w:div>
    <w:div w:id="416100813">
      <w:bodyDiv w:val="1"/>
      <w:marLeft w:val="0"/>
      <w:marRight w:val="0"/>
      <w:marTop w:val="0"/>
      <w:marBottom w:val="0"/>
      <w:divBdr>
        <w:top w:val="none" w:sz="0" w:space="0" w:color="auto"/>
        <w:left w:val="none" w:sz="0" w:space="0" w:color="auto"/>
        <w:bottom w:val="none" w:sz="0" w:space="0" w:color="auto"/>
        <w:right w:val="none" w:sz="0" w:space="0" w:color="auto"/>
      </w:divBdr>
    </w:div>
    <w:div w:id="425923470">
      <w:bodyDiv w:val="1"/>
      <w:marLeft w:val="0"/>
      <w:marRight w:val="0"/>
      <w:marTop w:val="0"/>
      <w:marBottom w:val="0"/>
      <w:divBdr>
        <w:top w:val="none" w:sz="0" w:space="0" w:color="auto"/>
        <w:left w:val="none" w:sz="0" w:space="0" w:color="auto"/>
        <w:bottom w:val="none" w:sz="0" w:space="0" w:color="auto"/>
        <w:right w:val="none" w:sz="0" w:space="0" w:color="auto"/>
      </w:divBdr>
    </w:div>
    <w:div w:id="575893985">
      <w:bodyDiv w:val="1"/>
      <w:marLeft w:val="0"/>
      <w:marRight w:val="0"/>
      <w:marTop w:val="0"/>
      <w:marBottom w:val="0"/>
      <w:divBdr>
        <w:top w:val="none" w:sz="0" w:space="0" w:color="auto"/>
        <w:left w:val="none" w:sz="0" w:space="0" w:color="auto"/>
        <w:bottom w:val="none" w:sz="0" w:space="0" w:color="auto"/>
        <w:right w:val="none" w:sz="0" w:space="0" w:color="auto"/>
      </w:divBdr>
    </w:div>
    <w:div w:id="729037329">
      <w:bodyDiv w:val="1"/>
      <w:marLeft w:val="0"/>
      <w:marRight w:val="0"/>
      <w:marTop w:val="0"/>
      <w:marBottom w:val="0"/>
      <w:divBdr>
        <w:top w:val="none" w:sz="0" w:space="0" w:color="auto"/>
        <w:left w:val="none" w:sz="0" w:space="0" w:color="auto"/>
        <w:bottom w:val="none" w:sz="0" w:space="0" w:color="auto"/>
        <w:right w:val="none" w:sz="0" w:space="0" w:color="auto"/>
      </w:divBdr>
    </w:div>
    <w:div w:id="799419488">
      <w:bodyDiv w:val="1"/>
      <w:marLeft w:val="0"/>
      <w:marRight w:val="0"/>
      <w:marTop w:val="0"/>
      <w:marBottom w:val="0"/>
      <w:divBdr>
        <w:top w:val="none" w:sz="0" w:space="0" w:color="auto"/>
        <w:left w:val="none" w:sz="0" w:space="0" w:color="auto"/>
        <w:bottom w:val="none" w:sz="0" w:space="0" w:color="auto"/>
        <w:right w:val="none" w:sz="0" w:space="0" w:color="auto"/>
      </w:divBdr>
    </w:div>
    <w:div w:id="829909935">
      <w:bodyDiv w:val="1"/>
      <w:marLeft w:val="0"/>
      <w:marRight w:val="0"/>
      <w:marTop w:val="0"/>
      <w:marBottom w:val="0"/>
      <w:divBdr>
        <w:top w:val="none" w:sz="0" w:space="0" w:color="auto"/>
        <w:left w:val="none" w:sz="0" w:space="0" w:color="auto"/>
        <w:bottom w:val="none" w:sz="0" w:space="0" w:color="auto"/>
        <w:right w:val="none" w:sz="0" w:space="0" w:color="auto"/>
      </w:divBdr>
    </w:div>
    <w:div w:id="944262833">
      <w:bodyDiv w:val="1"/>
      <w:marLeft w:val="0"/>
      <w:marRight w:val="0"/>
      <w:marTop w:val="0"/>
      <w:marBottom w:val="0"/>
      <w:divBdr>
        <w:top w:val="none" w:sz="0" w:space="0" w:color="auto"/>
        <w:left w:val="none" w:sz="0" w:space="0" w:color="auto"/>
        <w:bottom w:val="none" w:sz="0" w:space="0" w:color="auto"/>
        <w:right w:val="none" w:sz="0" w:space="0" w:color="auto"/>
      </w:divBdr>
    </w:div>
    <w:div w:id="1343625090">
      <w:bodyDiv w:val="1"/>
      <w:marLeft w:val="0"/>
      <w:marRight w:val="0"/>
      <w:marTop w:val="0"/>
      <w:marBottom w:val="0"/>
      <w:divBdr>
        <w:top w:val="none" w:sz="0" w:space="0" w:color="auto"/>
        <w:left w:val="none" w:sz="0" w:space="0" w:color="auto"/>
        <w:bottom w:val="none" w:sz="0" w:space="0" w:color="auto"/>
        <w:right w:val="none" w:sz="0" w:space="0" w:color="auto"/>
      </w:divBdr>
    </w:div>
    <w:div w:id="1557205301">
      <w:bodyDiv w:val="1"/>
      <w:marLeft w:val="0"/>
      <w:marRight w:val="0"/>
      <w:marTop w:val="0"/>
      <w:marBottom w:val="0"/>
      <w:divBdr>
        <w:top w:val="none" w:sz="0" w:space="0" w:color="auto"/>
        <w:left w:val="none" w:sz="0" w:space="0" w:color="auto"/>
        <w:bottom w:val="none" w:sz="0" w:space="0" w:color="auto"/>
        <w:right w:val="none" w:sz="0" w:space="0" w:color="auto"/>
      </w:divBdr>
    </w:div>
    <w:div w:id="1739206515">
      <w:bodyDiv w:val="1"/>
      <w:marLeft w:val="0"/>
      <w:marRight w:val="0"/>
      <w:marTop w:val="0"/>
      <w:marBottom w:val="0"/>
      <w:divBdr>
        <w:top w:val="none" w:sz="0" w:space="0" w:color="auto"/>
        <w:left w:val="none" w:sz="0" w:space="0" w:color="auto"/>
        <w:bottom w:val="none" w:sz="0" w:space="0" w:color="auto"/>
        <w:right w:val="none" w:sz="0" w:space="0" w:color="auto"/>
      </w:divBdr>
    </w:div>
    <w:div w:id="1911428053">
      <w:bodyDiv w:val="1"/>
      <w:marLeft w:val="0"/>
      <w:marRight w:val="0"/>
      <w:marTop w:val="0"/>
      <w:marBottom w:val="0"/>
      <w:divBdr>
        <w:top w:val="none" w:sz="0" w:space="0" w:color="auto"/>
        <w:left w:val="none" w:sz="0" w:space="0" w:color="auto"/>
        <w:bottom w:val="none" w:sz="0" w:space="0" w:color="auto"/>
        <w:right w:val="none" w:sz="0" w:space="0" w:color="auto"/>
      </w:divBdr>
    </w:div>
    <w:div w:id="2002074063">
      <w:bodyDiv w:val="1"/>
      <w:marLeft w:val="0"/>
      <w:marRight w:val="0"/>
      <w:marTop w:val="0"/>
      <w:marBottom w:val="0"/>
      <w:divBdr>
        <w:top w:val="none" w:sz="0" w:space="0" w:color="auto"/>
        <w:left w:val="none" w:sz="0" w:space="0" w:color="auto"/>
        <w:bottom w:val="none" w:sz="0" w:space="0" w:color="auto"/>
        <w:right w:val="none" w:sz="0" w:space="0" w:color="auto"/>
      </w:divBdr>
    </w:div>
    <w:div w:id="2055688557">
      <w:bodyDiv w:val="1"/>
      <w:marLeft w:val="0"/>
      <w:marRight w:val="0"/>
      <w:marTop w:val="0"/>
      <w:marBottom w:val="0"/>
      <w:divBdr>
        <w:top w:val="none" w:sz="0" w:space="0" w:color="auto"/>
        <w:left w:val="none" w:sz="0" w:space="0" w:color="auto"/>
        <w:bottom w:val="none" w:sz="0" w:space="0" w:color="auto"/>
        <w:right w:val="none" w:sz="0" w:space="0" w:color="auto"/>
      </w:divBdr>
    </w:div>
    <w:div w:id="2074615175">
      <w:bodyDiv w:val="1"/>
      <w:marLeft w:val="0"/>
      <w:marRight w:val="0"/>
      <w:marTop w:val="0"/>
      <w:marBottom w:val="0"/>
      <w:divBdr>
        <w:top w:val="none" w:sz="0" w:space="0" w:color="auto"/>
        <w:left w:val="none" w:sz="0" w:space="0" w:color="auto"/>
        <w:bottom w:val="none" w:sz="0" w:space="0" w:color="auto"/>
        <w:right w:val="none" w:sz="0" w:space="0" w:color="auto"/>
      </w:divBdr>
    </w:div>
    <w:div w:id="2075620668">
      <w:bodyDiv w:val="1"/>
      <w:marLeft w:val="0"/>
      <w:marRight w:val="0"/>
      <w:marTop w:val="0"/>
      <w:marBottom w:val="0"/>
      <w:divBdr>
        <w:top w:val="none" w:sz="0" w:space="0" w:color="auto"/>
        <w:left w:val="none" w:sz="0" w:space="0" w:color="auto"/>
        <w:bottom w:val="none" w:sz="0" w:space="0" w:color="auto"/>
        <w:right w:val="none" w:sz="0" w:space="0" w:color="auto"/>
      </w:divBdr>
    </w:div>
    <w:div w:id="2147116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AC911E-01DD-4269-8D8C-A96406FA6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224</Words>
  <Characters>1280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Utah Transit Authority</Company>
  <LinksUpToDate>false</LinksUpToDate>
  <CharactersWithSpaces>1501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Biles, Robert (VP of Finance)</dc:creator>
  <cp:keywords/>
  <dc:description/>
  <cp:lastModifiedBy>Henshaw, James (Internet Marketing Specialist)</cp:lastModifiedBy>
  <cp:revision>2</cp:revision>
  <cp:lastPrinted>2019-09-04T22:11:00Z</cp:lastPrinted>
  <dcterms:created xsi:type="dcterms:W3CDTF">2019-11-08T17:22:00Z</dcterms:created>
  <dcterms:modified xsi:type="dcterms:W3CDTF">2019-11-08T17:22:00Z</dcterms:modified>
</cp:coreProperties>
</file>